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tblpY="-1035"/>
        <w:tblW w:w="9889" w:type="dxa"/>
        <w:tblLook w:val="04A0" w:firstRow="1" w:lastRow="0" w:firstColumn="1" w:lastColumn="0" w:noHBand="0" w:noVBand="1"/>
      </w:tblPr>
      <w:tblGrid>
        <w:gridCol w:w="6204"/>
        <w:gridCol w:w="3685"/>
      </w:tblGrid>
      <w:tr w:rsidR="00525C1C" w:rsidTr="00E70848">
        <w:tc>
          <w:tcPr>
            <w:tcW w:w="9889" w:type="dxa"/>
            <w:gridSpan w:val="2"/>
            <w:tcBorders>
              <w:top w:val="nil"/>
              <w:left w:val="nil"/>
              <w:bottom w:val="nil"/>
              <w:right w:val="nil"/>
            </w:tcBorders>
          </w:tcPr>
          <w:p w:rsidR="00525C1C" w:rsidRPr="00525C1C" w:rsidRDefault="00525C1C" w:rsidP="0071693D">
            <w:pPr>
              <w:rPr>
                <w:rFonts w:ascii="Estrangelo Edessa" w:hAnsi="Estrangelo Edessa" w:cs="Estrangelo Edessa"/>
              </w:rPr>
            </w:pPr>
            <w:r w:rsidRPr="00525C1C">
              <w:rPr>
                <w:rFonts w:ascii="Estrangelo Edessa" w:hAnsi="Estrangelo Edessa" w:cs="Estrangelo Edessa"/>
              </w:rPr>
              <w:t>Danmarks Lærerforening</w:t>
            </w:r>
            <w:r w:rsidR="00D82D8C">
              <w:rPr>
                <w:rFonts w:ascii="Estrangelo Edessa" w:hAnsi="Estrangelo Edessa" w:cs="Estrangelo Edessa"/>
                <w:noProof/>
              </w:rPr>
              <w:drawing>
                <wp:anchor distT="0" distB="0" distL="114300" distR="114300" simplePos="0" relativeHeight="251659264" behindDoc="0" locked="1" layoutInCell="0" allowOverlap="0" wp14:anchorId="3FE03982" wp14:editId="180B13E2">
                  <wp:simplePos x="0" y="0"/>
                  <wp:positionH relativeFrom="column">
                    <wp:posOffset>5337810</wp:posOffset>
                  </wp:positionH>
                  <wp:positionV relativeFrom="page">
                    <wp:posOffset>329565</wp:posOffset>
                  </wp:positionV>
                  <wp:extent cx="705485" cy="741045"/>
                  <wp:effectExtent l="0" t="0" r="0" b="1905"/>
                  <wp:wrapNone/>
                  <wp:docPr id="1" name="Billede 1" descr="DLF_logo_Panton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_logo_Pantone-1400"/>
                          <pic:cNvPicPr>
                            <a:picLocks noChangeAspect="1" noChangeArrowheads="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l="270" t="-1587"/>
                          <a:stretch>
                            <a:fillRect/>
                          </a:stretch>
                        </pic:blipFill>
                        <pic:spPr bwMode="auto">
                          <a:xfrm>
                            <a:off x="0" y="0"/>
                            <a:ext cx="70548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C1C" w:rsidRPr="00213575" w:rsidRDefault="00525C1C" w:rsidP="00763BC3">
            <w:pPr>
              <w:pBdr>
                <w:bottom w:val="single" w:sz="4" w:space="1" w:color="auto"/>
              </w:pBdr>
              <w:rPr>
                <w:rFonts w:ascii="Estrangelo Edessa" w:hAnsi="Estrangelo Edessa" w:cs="Estrangelo Edessa"/>
                <w:color w:val="365F91" w:themeColor="accent1" w:themeShade="BF"/>
                <w:sz w:val="32"/>
                <w:szCs w:val="32"/>
              </w:rPr>
            </w:pPr>
            <w:r w:rsidRPr="00213575">
              <w:rPr>
                <w:rFonts w:ascii="Estrangelo Edessa" w:hAnsi="Estrangelo Edessa" w:cs="Estrangelo Edessa"/>
                <w:color w:val="365F91" w:themeColor="accent1" w:themeShade="BF"/>
                <w:sz w:val="32"/>
                <w:szCs w:val="32"/>
              </w:rPr>
              <w:t>Kreds 60</w:t>
            </w:r>
          </w:p>
          <w:p w:rsidR="00525C1C" w:rsidRPr="00525C1C" w:rsidRDefault="00525C1C" w:rsidP="00763BC3">
            <w:pPr>
              <w:pBdr>
                <w:bottom w:val="single" w:sz="4" w:space="1" w:color="auto"/>
              </w:pBdr>
              <w:rPr>
                <w:rFonts w:ascii="Estrangelo Edessa" w:hAnsi="Estrangelo Edessa" w:cs="Estrangelo Edessa"/>
              </w:rPr>
            </w:pPr>
            <w:r w:rsidRPr="00525C1C">
              <w:rPr>
                <w:rFonts w:ascii="Estrangelo Edessa" w:hAnsi="Estrangelo Edessa" w:cs="Estrangelo Edessa"/>
              </w:rPr>
              <w:t>Lærerkredsen for Faxe og Vordingborg</w:t>
            </w:r>
            <w:r w:rsidR="00D82D8C">
              <w:rPr>
                <w:rFonts w:ascii="Estrangelo Edessa" w:hAnsi="Estrangelo Edessa" w:cs="Estrangelo Edessa"/>
              </w:rPr>
              <w:t xml:space="preserve">   </w:t>
            </w:r>
          </w:p>
          <w:p w:rsidR="00525C1C" w:rsidRDefault="00525C1C" w:rsidP="00763BC3">
            <w:pPr>
              <w:pBdr>
                <w:bottom w:val="single" w:sz="4" w:space="1" w:color="auto"/>
              </w:pBdr>
            </w:pPr>
          </w:p>
        </w:tc>
      </w:tr>
      <w:tr w:rsidR="000A0EF4" w:rsidTr="000A0EF4">
        <w:tc>
          <w:tcPr>
            <w:tcW w:w="6204" w:type="dxa"/>
            <w:tcBorders>
              <w:top w:val="nil"/>
              <w:left w:val="nil"/>
              <w:bottom w:val="nil"/>
              <w:right w:val="nil"/>
            </w:tcBorders>
          </w:tcPr>
          <w:p w:rsidR="000A0EF4" w:rsidRDefault="000A0EF4" w:rsidP="000A0EF4">
            <w:pPr>
              <w:spacing w:before="120"/>
            </w:pPr>
          </w:p>
        </w:tc>
        <w:tc>
          <w:tcPr>
            <w:tcW w:w="3685" w:type="dxa"/>
            <w:tcBorders>
              <w:top w:val="nil"/>
              <w:left w:val="nil"/>
              <w:bottom w:val="nil"/>
              <w:right w:val="nil"/>
            </w:tcBorders>
          </w:tcPr>
          <w:p w:rsidR="000A0EF4" w:rsidRDefault="000A0EF4" w:rsidP="00C673AC">
            <w:pPr>
              <w:spacing w:before="120"/>
              <w:jc w:val="right"/>
            </w:pPr>
          </w:p>
        </w:tc>
      </w:tr>
      <w:tr w:rsidR="00763BC3" w:rsidTr="000A0EF4">
        <w:tc>
          <w:tcPr>
            <w:tcW w:w="6204" w:type="dxa"/>
            <w:vMerge w:val="restart"/>
            <w:tcBorders>
              <w:top w:val="nil"/>
              <w:left w:val="nil"/>
              <w:bottom w:val="single" w:sz="4" w:space="0" w:color="auto"/>
              <w:right w:val="nil"/>
            </w:tcBorders>
          </w:tcPr>
          <w:p w:rsidR="005D6DF0" w:rsidRDefault="005D6DF0" w:rsidP="005D6DF0">
            <w:pPr>
              <w:rPr>
                <w:rFonts w:eastAsiaTheme="minorHAnsi"/>
                <w:lang w:eastAsia="en-US"/>
              </w:rPr>
            </w:pPr>
          </w:p>
          <w:p w:rsidR="005D6DF0" w:rsidRDefault="005D6DF0" w:rsidP="005D6DF0">
            <w:pPr>
              <w:rPr>
                <w:rFonts w:eastAsiaTheme="minorHAnsi"/>
                <w:lang w:eastAsia="en-US"/>
              </w:rPr>
            </w:pPr>
          </w:p>
          <w:p w:rsidR="005D6DF0" w:rsidRDefault="005D6DF0" w:rsidP="005D6DF0">
            <w:pPr>
              <w:rPr>
                <w:rFonts w:eastAsiaTheme="minorHAnsi"/>
                <w:lang w:eastAsia="en-US"/>
              </w:rPr>
            </w:pPr>
          </w:p>
          <w:p w:rsidR="005D6DF0" w:rsidRPr="005D6DF0" w:rsidRDefault="005D6DF0" w:rsidP="005D6DF0">
            <w:pPr>
              <w:rPr>
                <w:rFonts w:eastAsiaTheme="minorHAnsi"/>
                <w:b/>
                <w:color w:val="365F91" w:themeColor="accent1" w:themeShade="BF"/>
                <w:sz w:val="32"/>
                <w:szCs w:val="32"/>
                <w:lang w:eastAsia="en-US"/>
              </w:rPr>
            </w:pPr>
            <w:r w:rsidRPr="005D6DF0">
              <w:rPr>
                <w:rFonts w:eastAsiaTheme="minorHAnsi"/>
                <w:b/>
                <w:color w:val="365F91" w:themeColor="accent1" w:themeShade="BF"/>
                <w:sz w:val="32"/>
                <w:szCs w:val="32"/>
                <w:lang w:eastAsia="en-US"/>
              </w:rPr>
              <w:t>L</w:t>
            </w:r>
            <w:r w:rsidRPr="005D6DF0">
              <w:rPr>
                <w:rFonts w:eastAsiaTheme="minorHAnsi"/>
                <w:b/>
                <w:color w:val="365F91" w:themeColor="accent1" w:themeShade="BF"/>
                <w:sz w:val="32"/>
                <w:szCs w:val="32"/>
                <w:lang w:eastAsia="en-US"/>
              </w:rPr>
              <w:t xml:space="preserve">æserbrev vedr. </w:t>
            </w:r>
          </w:p>
          <w:p w:rsidR="005D6DF0" w:rsidRPr="005D6DF0" w:rsidRDefault="005D6DF0" w:rsidP="005D6DF0">
            <w:pPr>
              <w:rPr>
                <w:rFonts w:eastAsiaTheme="minorHAnsi"/>
                <w:b/>
                <w:color w:val="365F91" w:themeColor="accent1" w:themeShade="BF"/>
                <w:sz w:val="32"/>
                <w:szCs w:val="32"/>
                <w:lang w:eastAsia="en-US"/>
              </w:rPr>
            </w:pPr>
          </w:p>
          <w:p w:rsidR="005D6DF0" w:rsidRPr="005D6DF0" w:rsidRDefault="005D6DF0" w:rsidP="005D6DF0">
            <w:pPr>
              <w:rPr>
                <w:rFonts w:eastAsiaTheme="minorHAnsi"/>
                <w:b/>
                <w:color w:val="365F91" w:themeColor="accent1" w:themeShade="BF"/>
                <w:sz w:val="32"/>
                <w:szCs w:val="32"/>
                <w:lang w:eastAsia="en-US"/>
              </w:rPr>
            </w:pPr>
            <w:r w:rsidRPr="005D6DF0">
              <w:rPr>
                <w:rFonts w:eastAsiaTheme="minorHAnsi"/>
                <w:b/>
                <w:color w:val="365F91" w:themeColor="accent1" w:themeShade="BF"/>
                <w:sz w:val="32"/>
                <w:szCs w:val="32"/>
                <w:lang w:eastAsia="en-US"/>
              </w:rPr>
              <w:t>S</w:t>
            </w:r>
            <w:r w:rsidRPr="005D6DF0">
              <w:rPr>
                <w:rFonts w:eastAsiaTheme="minorHAnsi"/>
                <w:b/>
                <w:color w:val="365F91" w:themeColor="accent1" w:themeShade="BF"/>
                <w:sz w:val="32"/>
                <w:szCs w:val="32"/>
                <w:lang w:eastAsia="en-US"/>
              </w:rPr>
              <w:t>kolestrukturændringerne i Faxe</w:t>
            </w:r>
            <w:r w:rsidRPr="005D6DF0">
              <w:rPr>
                <w:rFonts w:eastAsiaTheme="minorHAnsi"/>
                <w:b/>
                <w:color w:val="365F91" w:themeColor="accent1" w:themeShade="BF"/>
                <w:sz w:val="32"/>
                <w:szCs w:val="32"/>
                <w:lang w:eastAsia="en-US"/>
              </w:rPr>
              <w:t xml:space="preserve"> K</w:t>
            </w:r>
            <w:r w:rsidRPr="005D6DF0">
              <w:rPr>
                <w:rFonts w:eastAsiaTheme="minorHAnsi"/>
                <w:b/>
                <w:color w:val="365F91" w:themeColor="accent1" w:themeShade="BF"/>
                <w:sz w:val="32"/>
                <w:szCs w:val="32"/>
                <w:lang w:eastAsia="en-US"/>
              </w:rPr>
              <w:t>ommune</w:t>
            </w:r>
          </w:p>
          <w:p w:rsidR="00763BC3" w:rsidRDefault="00763BC3" w:rsidP="000A0EF4"/>
        </w:tc>
        <w:tc>
          <w:tcPr>
            <w:tcW w:w="3685" w:type="dxa"/>
            <w:tcBorders>
              <w:top w:val="nil"/>
              <w:left w:val="nil"/>
              <w:bottom w:val="nil"/>
              <w:right w:val="nil"/>
            </w:tcBorders>
          </w:tcPr>
          <w:p w:rsidR="00763BC3" w:rsidRDefault="00763BC3" w:rsidP="00C673AC">
            <w:pPr>
              <w:spacing w:before="120"/>
              <w:jc w:val="right"/>
            </w:pPr>
            <w:r>
              <w:t>Marienbergvej 17</w:t>
            </w:r>
          </w:p>
          <w:p w:rsidR="00763BC3" w:rsidRDefault="00763BC3" w:rsidP="00763BC3">
            <w:pPr>
              <w:jc w:val="right"/>
            </w:pPr>
            <w:r>
              <w:t>4760 Vordingborg</w:t>
            </w:r>
          </w:p>
          <w:p w:rsidR="00763BC3" w:rsidRDefault="00763BC3" w:rsidP="00763BC3">
            <w:pPr>
              <w:jc w:val="right"/>
            </w:pP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pPr>
              <w:jc w:val="right"/>
            </w:pPr>
            <w:r>
              <w:t>Tlf.: 66 10 60 60</w:t>
            </w: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pPr>
              <w:jc w:val="right"/>
            </w:pPr>
            <w:r>
              <w:t>Fax: 55 34 10 63</w:t>
            </w:r>
          </w:p>
          <w:p w:rsidR="00763BC3" w:rsidRDefault="00763BC3" w:rsidP="00763BC3">
            <w:pPr>
              <w:jc w:val="right"/>
            </w:pP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pPr>
              <w:jc w:val="right"/>
            </w:pPr>
            <w:r>
              <w:t xml:space="preserve">E-mail: </w:t>
            </w:r>
            <w:hyperlink r:id="rId9" w:history="1">
              <w:r w:rsidRPr="00964E6D">
                <w:rPr>
                  <w:rStyle w:val="Hyperlink"/>
                </w:rPr>
                <w:t>060@dlf.org</w:t>
              </w:r>
            </w:hyperlink>
          </w:p>
          <w:p w:rsidR="00763BC3" w:rsidRDefault="00763BC3" w:rsidP="00763BC3">
            <w:pPr>
              <w:jc w:val="right"/>
            </w:pP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pPr>
              <w:jc w:val="right"/>
            </w:pPr>
            <w:r>
              <w:t xml:space="preserve">Hjemmeside: </w:t>
            </w:r>
            <w:hyperlink r:id="rId10" w:history="1">
              <w:r w:rsidRPr="00964E6D">
                <w:rPr>
                  <w:rStyle w:val="Hyperlink"/>
                </w:rPr>
                <w:t>http://www.kreds60.org/</w:t>
              </w:r>
            </w:hyperlink>
            <w:r>
              <w:t xml:space="preserve"> </w:t>
            </w: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r>
              <w:t>Dato:</w:t>
            </w:r>
            <w:r w:rsidR="00DB4BFC">
              <w:t xml:space="preserve"> 24. nov. 2011</w:t>
            </w: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nil"/>
              <w:right w:val="nil"/>
            </w:tcBorders>
          </w:tcPr>
          <w:p w:rsidR="00763BC3" w:rsidRDefault="00763BC3" w:rsidP="00763BC3">
            <w:r>
              <w:t>J. nr.</w:t>
            </w:r>
            <w:r w:rsidR="00C673AC">
              <w:t>:</w:t>
            </w:r>
            <w:r>
              <w:t xml:space="preserve"> </w:t>
            </w:r>
            <w:r w:rsidR="00DB4BFC">
              <w:t>6-0</w:t>
            </w:r>
          </w:p>
        </w:tc>
      </w:tr>
      <w:tr w:rsidR="00763BC3" w:rsidTr="000A0EF4">
        <w:tc>
          <w:tcPr>
            <w:tcW w:w="6204" w:type="dxa"/>
            <w:vMerge/>
            <w:tcBorders>
              <w:top w:val="single" w:sz="4" w:space="0" w:color="auto"/>
              <w:left w:val="nil"/>
              <w:bottom w:val="single" w:sz="4" w:space="0" w:color="auto"/>
              <w:right w:val="nil"/>
            </w:tcBorders>
          </w:tcPr>
          <w:p w:rsidR="00763BC3" w:rsidRDefault="00763BC3" w:rsidP="00763BC3"/>
        </w:tc>
        <w:tc>
          <w:tcPr>
            <w:tcW w:w="3685" w:type="dxa"/>
            <w:tcBorders>
              <w:top w:val="nil"/>
              <w:left w:val="nil"/>
              <w:bottom w:val="single" w:sz="4" w:space="0" w:color="auto"/>
              <w:right w:val="nil"/>
            </w:tcBorders>
          </w:tcPr>
          <w:p w:rsidR="00763BC3" w:rsidRDefault="00763BC3" w:rsidP="00C673AC">
            <w:pPr>
              <w:spacing w:after="120"/>
            </w:pPr>
            <w:r>
              <w:t xml:space="preserve">Ref.: </w:t>
            </w:r>
            <w:r w:rsidR="00DB4BFC">
              <w:t>LEHN</w:t>
            </w:r>
          </w:p>
        </w:tc>
      </w:tr>
      <w:tr w:rsidR="000A0EF4" w:rsidTr="000A0EF4">
        <w:tc>
          <w:tcPr>
            <w:tcW w:w="6204" w:type="dxa"/>
            <w:tcBorders>
              <w:top w:val="single" w:sz="4" w:space="0" w:color="auto"/>
              <w:left w:val="nil"/>
              <w:bottom w:val="nil"/>
              <w:right w:val="nil"/>
            </w:tcBorders>
          </w:tcPr>
          <w:p w:rsidR="000A0EF4" w:rsidRDefault="000A0EF4" w:rsidP="00763BC3"/>
        </w:tc>
        <w:tc>
          <w:tcPr>
            <w:tcW w:w="3685" w:type="dxa"/>
            <w:tcBorders>
              <w:top w:val="single" w:sz="4" w:space="0" w:color="auto"/>
              <w:left w:val="nil"/>
              <w:bottom w:val="nil"/>
              <w:right w:val="nil"/>
            </w:tcBorders>
          </w:tcPr>
          <w:p w:rsidR="000A0EF4" w:rsidRDefault="000A0EF4" w:rsidP="00C673AC">
            <w:pPr>
              <w:spacing w:after="120"/>
            </w:pPr>
          </w:p>
        </w:tc>
      </w:tr>
    </w:tbl>
    <w:p w:rsidR="005D6DF0" w:rsidRPr="005D6DF0" w:rsidRDefault="005D6DF0" w:rsidP="005D6DF0">
      <w:pPr>
        <w:rPr>
          <w:rFonts w:eastAsiaTheme="minorHAnsi"/>
          <w:b/>
          <w:sz w:val="28"/>
          <w:szCs w:val="28"/>
          <w:lang w:eastAsia="en-US"/>
        </w:rPr>
      </w:pPr>
      <w:r w:rsidRPr="005D6DF0">
        <w:rPr>
          <w:rFonts w:eastAsiaTheme="minorHAnsi"/>
          <w:b/>
          <w:sz w:val="28"/>
          <w:szCs w:val="28"/>
          <w:lang w:eastAsia="en-US"/>
        </w:rPr>
        <w:t>Hvor skal vi hen du?</w:t>
      </w:r>
    </w:p>
    <w:p w:rsidR="005D6DF0" w:rsidRPr="005D6DF0" w:rsidRDefault="005D6DF0" w:rsidP="005D6DF0">
      <w:pPr>
        <w:rPr>
          <w:rFonts w:eastAsiaTheme="minorHAnsi"/>
          <w:lang w:eastAsia="en-US"/>
        </w:rPr>
      </w:pPr>
      <w:r w:rsidRPr="005D6DF0">
        <w:rPr>
          <w:rFonts w:eastAsiaTheme="minorHAnsi"/>
          <w:i/>
          <w:lang w:eastAsia="en-US"/>
        </w:rPr>
        <w:t xml:space="preserve">Så lykkedes det efter et par forsøg at finde frem til en model for en ny skolestruktur, som politikerne ville være med til at sende i høring. </w:t>
      </w:r>
    </w:p>
    <w:p w:rsidR="005D6DF0" w:rsidRPr="005D6DF0" w:rsidRDefault="005D6DF0" w:rsidP="005D6DF0">
      <w:pPr>
        <w:rPr>
          <w:rFonts w:eastAsiaTheme="minorHAnsi"/>
          <w:lang w:eastAsia="en-US"/>
        </w:rPr>
      </w:pPr>
      <w:r w:rsidRPr="005D6DF0">
        <w:rPr>
          <w:rFonts w:eastAsiaTheme="minorHAnsi"/>
          <w:lang w:eastAsia="en-US"/>
        </w:rPr>
        <w:t xml:space="preserve">Det er glædeligt, at politikerne i Faxe ikke serverer forslaget til ny skolestruktur med en række pæne pædagogiske hurraord, men står ved, at det handler om at spare 7 millioner. </w:t>
      </w:r>
    </w:p>
    <w:p w:rsidR="005D6DF0" w:rsidRPr="005D6DF0" w:rsidRDefault="005D6DF0" w:rsidP="005D6DF0">
      <w:pPr>
        <w:rPr>
          <w:rFonts w:eastAsiaTheme="minorHAnsi"/>
          <w:i/>
          <w:lang w:eastAsia="en-US"/>
        </w:rPr>
      </w:pPr>
      <w:r w:rsidRPr="005D6DF0">
        <w:rPr>
          <w:rFonts w:eastAsiaTheme="minorHAnsi"/>
          <w:lang w:eastAsia="en-US"/>
        </w:rPr>
        <w:t>Men når det er sagt, er der ikke meget at glæde sig over. Har man virkelig forestillet sig, at det skulle være en forbedring for elevernes undervisningsmiljø og lærernes arbejdsmiljø, at man stopper 28 elever ind i klassen? Skulle det være vejen frem for en bedre inklusion af elever med særlige behov? Næppe. Mulighederne for at udføre intentionerne i folkeskoleloven i forhold til undervisningsdifferentiering vil med en klassestørrelse på 28 blive forringet betydeligt.</w:t>
      </w:r>
    </w:p>
    <w:p w:rsidR="005D6DF0" w:rsidRPr="005D6DF0" w:rsidRDefault="005D6DF0" w:rsidP="005D6DF0">
      <w:pPr>
        <w:rPr>
          <w:rFonts w:eastAsiaTheme="minorHAnsi"/>
          <w:lang w:eastAsia="en-US"/>
        </w:rPr>
      </w:pPr>
      <w:r w:rsidRPr="005D6DF0">
        <w:rPr>
          <w:rFonts w:eastAsiaTheme="minorHAnsi"/>
          <w:lang w:eastAsia="en-US"/>
        </w:rPr>
        <w:t>En struktur med 3 skoler på mange matrikler er en struktur</w:t>
      </w:r>
      <w:r w:rsidR="00DB4BFC">
        <w:rPr>
          <w:rFonts w:eastAsiaTheme="minorHAnsi"/>
          <w:lang w:eastAsia="en-US"/>
        </w:rPr>
        <w:t>,</w:t>
      </w:r>
      <w:r w:rsidRPr="005D6DF0">
        <w:rPr>
          <w:rFonts w:eastAsiaTheme="minorHAnsi"/>
          <w:lang w:eastAsia="en-US"/>
        </w:rPr>
        <w:t xml:space="preserve"> der med god grund vækker bekymring</w:t>
      </w:r>
      <w:r w:rsidR="00DB4BFC">
        <w:rPr>
          <w:rFonts w:eastAsiaTheme="minorHAnsi"/>
          <w:lang w:eastAsia="en-US"/>
        </w:rPr>
        <w:t>.</w:t>
      </w:r>
      <w:r w:rsidRPr="005D6DF0">
        <w:rPr>
          <w:rFonts w:eastAsiaTheme="minorHAnsi"/>
          <w:lang w:eastAsia="en-US"/>
        </w:rPr>
        <w:t xml:space="preserve"> </w:t>
      </w:r>
      <w:r w:rsidR="00DB4BFC">
        <w:rPr>
          <w:rFonts w:eastAsiaTheme="minorHAnsi"/>
          <w:lang w:eastAsia="en-US"/>
        </w:rPr>
        <w:t>D</w:t>
      </w:r>
      <w:r w:rsidRPr="005D6DF0">
        <w:rPr>
          <w:rFonts w:eastAsiaTheme="minorHAnsi"/>
          <w:lang w:eastAsia="en-US"/>
        </w:rPr>
        <w:t>et handler ikke kun om at se på enkelte skoler, men det handler i høj grad om, at denne struktur allerede er prøvet andre steder og uden stor succes.</w:t>
      </w:r>
    </w:p>
    <w:p w:rsidR="005D6DF0" w:rsidRPr="005D6DF0" w:rsidRDefault="005D6DF0" w:rsidP="005D6DF0">
      <w:pPr>
        <w:rPr>
          <w:rFonts w:eastAsiaTheme="minorHAnsi"/>
          <w:lang w:eastAsia="en-US"/>
        </w:rPr>
      </w:pPr>
      <w:r w:rsidRPr="005D6DF0">
        <w:rPr>
          <w:rFonts w:eastAsiaTheme="minorHAnsi"/>
          <w:lang w:eastAsia="en-US"/>
        </w:rPr>
        <w:t>For at det store matematiske regnestykke, en klassekvotient på 28, skal gå op, er det nødvendigt at flytte rundt på elever og dermed, i mindre målestok, også på lærerne. Det er svært at vide, hvor mange elever der skal flyttes rundt i systemet, for strukturændringerne kan meget vel medføre, at flere elever søger på privatskoler, med flere sammenlægninger til følge.</w:t>
      </w:r>
    </w:p>
    <w:p w:rsidR="005D6DF0" w:rsidRDefault="005D6DF0" w:rsidP="005D6DF0">
      <w:pPr>
        <w:rPr>
          <w:rFonts w:eastAsiaTheme="minorHAnsi"/>
          <w:lang w:eastAsia="en-US"/>
        </w:rPr>
      </w:pPr>
      <w:r w:rsidRPr="005D6DF0">
        <w:rPr>
          <w:rFonts w:eastAsiaTheme="minorHAnsi"/>
          <w:lang w:eastAsia="en-US"/>
        </w:rPr>
        <w:t xml:space="preserve"> Vi er bekymrede for, at ændringerne skaber mindre attraktive arbejdspladser, og at det bliver sværere at fastholde og tiltrække uddannede lærere.  Vi er bekymrede for, hvor skolen ender henne!</w:t>
      </w:r>
    </w:p>
    <w:p w:rsidR="00DB4BFC" w:rsidRDefault="00DB4BFC" w:rsidP="00DB4BFC">
      <w:pPr>
        <w:spacing w:after="0" w:line="240" w:lineRule="auto"/>
        <w:rPr>
          <w:rFonts w:eastAsiaTheme="minorHAnsi"/>
          <w:lang w:eastAsia="en-US"/>
        </w:rPr>
      </w:pPr>
      <w:r>
        <w:rPr>
          <w:rFonts w:eastAsiaTheme="minorHAnsi"/>
          <w:lang w:eastAsia="en-US"/>
        </w:rPr>
        <w:t>Med venlig hilsen</w:t>
      </w:r>
    </w:p>
    <w:p w:rsidR="00DB4BFC" w:rsidRPr="00DB4BFC" w:rsidRDefault="00DB4BFC" w:rsidP="00DB4BFC">
      <w:pPr>
        <w:spacing w:after="0" w:line="240" w:lineRule="auto"/>
        <w:rPr>
          <w:rFonts w:eastAsiaTheme="minorHAnsi"/>
          <w:b/>
          <w:lang w:eastAsia="en-US"/>
        </w:rPr>
      </w:pPr>
      <w:r w:rsidRPr="00DB4BFC">
        <w:rPr>
          <w:rFonts w:eastAsiaTheme="minorHAnsi"/>
          <w:b/>
          <w:lang w:eastAsia="en-US"/>
        </w:rPr>
        <w:t>Jonna Rolvung</w:t>
      </w:r>
    </w:p>
    <w:p w:rsidR="00DB4BFC" w:rsidRDefault="00DB4BFC" w:rsidP="00DB4BFC">
      <w:pPr>
        <w:spacing w:after="0" w:line="240" w:lineRule="auto"/>
        <w:rPr>
          <w:rFonts w:eastAsiaTheme="minorHAnsi"/>
          <w:lang w:eastAsia="en-US"/>
        </w:rPr>
      </w:pPr>
      <w:r>
        <w:rPr>
          <w:rFonts w:eastAsiaTheme="minorHAnsi"/>
          <w:lang w:eastAsia="en-US"/>
        </w:rPr>
        <w:t>Kredsformand</w:t>
      </w:r>
      <w:r>
        <w:rPr>
          <w:rFonts w:eastAsiaTheme="minorHAnsi"/>
          <w:lang w:eastAsia="en-US"/>
        </w:rPr>
        <w:tab/>
      </w:r>
      <w:r>
        <w:rPr>
          <w:rFonts w:eastAsiaTheme="minorHAnsi"/>
          <w:lang w:eastAsia="en-US"/>
        </w:rPr>
        <w:tab/>
      </w:r>
      <w:r w:rsidRPr="00DB4BFC">
        <w:rPr>
          <w:rFonts w:eastAsiaTheme="minorHAnsi"/>
          <w:b/>
          <w:lang w:eastAsia="en-US"/>
        </w:rPr>
        <w:t>Lene H. Nielsen</w:t>
      </w:r>
      <w:bookmarkStart w:id="0" w:name="_GoBack"/>
      <w:bookmarkEnd w:id="0"/>
    </w:p>
    <w:p w:rsidR="00D82D8C" w:rsidRPr="00DB4BFC" w:rsidRDefault="00DB4BFC" w:rsidP="00DB4BFC">
      <w:pPr>
        <w:spacing w:after="0" w:line="240" w:lineRule="auto"/>
        <w:rPr>
          <w:rFonts w:eastAsiaTheme="minorHAnsi"/>
          <w:lang w:eastAsia="en-US"/>
        </w:rPr>
      </w:pPr>
      <w:r>
        <w:rPr>
          <w:rFonts w:eastAsiaTheme="minorHAnsi"/>
          <w:lang w:eastAsia="en-US"/>
        </w:rPr>
        <w:tab/>
      </w:r>
      <w:r>
        <w:rPr>
          <w:rFonts w:eastAsiaTheme="minorHAnsi"/>
          <w:lang w:eastAsia="en-US"/>
        </w:rPr>
        <w:tab/>
        <w:t>Næstformand</w:t>
      </w:r>
    </w:p>
    <w:p w:rsidR="00D82D8C" w:rsidRDefault="00D82D8C" w:rsidP="000A0EF4">
      <w:pPr>
        <w:spacing w:after="0"/>
      </w:pPr>
    </w:p>
    <w:sectPr w:rsidR="00D82D8C" w:rsidSect="00DB4BFC">
      <w:headerReference w:type="default" r:id="rId11"/>
      <w:footerReference w:type="default" r:id="rId12"/>
      <w:pgSz w:w="11906" w:h="16838"/>
      <w:pgMar w:top="170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F0" w:rsidRDefault="005D6DF0" w:rsidP="00D23A86">
      <w:pPr>
        <w:spacing w:after="0" w:line="240" w:lineRule="auto"/>
      </w:pPr>
      <w:r>
        <w:separator/>
      </w:r>
    </w:p>
  </w:endnote>
  <w:endnote w:type="continuationSeparator" w:id="0">
    <w:p w:rsidR="005D6DF0" w:rsidRDefault="005D6DF0" w:rsidP="00D2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80562"/>
      <w:docPartObj>
        <w:docPartGallery w:val="Page Numbers (Bottom of Page)"/>
        <w:docPartUnique/>
      </w:docPartObj>
    </w:sdtPr>
    <w:sdtEndPr/>
    <w:sdtContent>
      <w:p w:rsidR="00ED349B" w:rsidRDefault="00ED349B">
        <w:pPr>
          <w:pStyle w:val="Sidefod"/>
          <w:jc w:val="right"/>
        </w:pPr>
        <w:r>
          <w:fldChar w:fldCharType="begin"/>
        </w:r>
        <w:r>
          <w:instrText>PAGE   \* MERGEFORMAT</w:instrText>
        </w:r>
        <w:r>
          <w:fldChar w:fldCharType="separate"/>
        </w:r>
        <w:r w:rsidR="00DB4BFC">
          <w:rPr>
            <w:noProof/>
          </w:rPr>
          <w:t>1</w:t>
        </w:r>
        <w:r>
          <w:fldChar w:fldCharType="end"/>
        </w:r>
      </w:p>
    </w:sdtContent>
  </w:sdt>
  <w:p w:rsidR="00ED349B" w:rsidRDefault="00ED34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F0" w:rsidRDefault="005D6DF0" w:rsidP="00D23A86">
      <w:pPr>
        <w:spacing w:after="0" w:line="240" w:lineRule="auto"/>
      </w:pPr>
      <w:r>
        <w:separator/>
      </w:r>
    </w:p>
  </w:footnote>
  <w:footnote w:type="continuationSeparator" w:id="0">
    <w:p w:rsidR="005D6DF0" w:rsidRDefault="005D6DF0" w:rsidP="00D2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9B" w:rsidRDefault="00ED349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F0"/>
    <w:rsid w:val="000A0EF4"/>
    <w:rsid w:val="000D61DB"/>
    <w:rsid w:val="00213575"/>
    <w:rsid w:val="003178BA"/>
    <w:rsid w:val="0033798A"/>
    <w:rsid w:val="003A007C"/>
    <w:rsid w:val="00525C1C"/>
    <w:rsid w:val="005D6DF0"/>
    <w:rsid w:val="005E613B"/>
    <w:rsid w:val="005F475F"/>
    <w:rsid w:val="0071693D"/>
    <w:rsid w:val="00763BC3"/>
    <w:rsid w:val="00957059"/>
    <w:rsid w:val="00C0773C"/>
    <w:rsid w:val="00C673AC"/>
    <w:rsid w:val="00D23A86"/>
    <w:rsid w:val="00D67A38"/>
    <w:rsid w:val="00D82D8C"/>
    <w:rsid w:val="00D969EC"/>
    <w:rsid w:val="00DB3A7C"/>
    <w:rsid w:val="00DB4BFC"/>
    <w:rsid w:val="00E70848"/>
    <w:rsid w:val="00ED349B"/>
    <w:rsid w:val="00FA7F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525C1C"/>
    <w:rPr>
      <w:color w:val="0000FF" w:themeColor="hyperlink"/>
      <w:u w:val="single"/>
    </w:rPr>
  </w:style>
  <w:style w:type="paragraph" w:styleId="Markeringsbobletekst">
    <w:name w:val="Balloon Text"/>
    <w:basedOn w:val="Normal"/>
    <w:link w:val="MarkeringsbobletekstTegn"/>
    <w:uiPriority w:val="99"/>
    <w:semiHidden/>
    <w:unhideWhenUsed/>
    <w:rsid w:val="00763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BC3"/>
    <w:rPr>
      <w:rFonts w:ascii="Tahoma" w:hAnsi="Tahoma" w:cs="Tahoma"/>
      <w:sz w:val="16"/>
      <w:szCs w:val="16"/>
    </w:rPr>
  </w:style>
  <w:style w:type="paragraph" w:styleId="Sidehoved">
    <w:name w:val="header"/>
    <w:basedOn w:val="Normal"/>
    <w:link w:val="SidehovedTegn"/>
    <w:uiPriority w:val="99"/>
    <w:unhideWhenUsed/>
    <w:rsid w:val="00D23A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3A86"/>
  </w:style>
  <w:style w:type="paragraph" w:styleId="Sidefod">
    <w:name w:val="footer"/>
    <w:basedOn w:val="Normal"/>
    <w:link w:val="SidefodTegn"/>
    <w:uiPriority w:val="99"/>
    <w:unhideWhenUsed/>
    <w:rsid w:val="00D23A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3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2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525C1C"/>
    <w:rPr>
      <w:color w:val="0000FF" w:themeColor="hyperlink"/>
      <w:u w:val="single"/>
    </w:rPr>
  </w:style>
  <w:style w:type="paragraph" w:styleId="Markeringsbobletekst">
    <w:name w:val="Balloon Text"/>
    <w:basedOn w:val="Normal"/>
    <w:link w:val="MarkeringsbobletekstTegn"/>
    <w:uiPriority w:val="99"/>
    <w:semiHidden/>
    <w:unhideWhenUsed/>
    <w:rsid w:val="00763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BC3"/>
    <w:rPr>
      <w:rFonts w:ascii="Tahoma" w:hAnsi="Tahoma" w:cs="Tahoma"/>
      <w:sz w:val="16"/>
      <w:szCs w:val="16"/>
    </w:rPr>
  </w:style>
  <w:style w:type="paragraph" w:styleId="Sidehoved">
    <w:name w:val="header"/>
    <w:basedOn w:val="Normal"/>
    <w:link w:val="SidehovedTegn"/>
    <w:uiPriority w:val="99"/>
    <w:unhideWhenUsed/>
    <w:rsid w:val="00D23A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3A86"/>
  </w:style>
  <w:style w:type="paragraph" w:styleId="Sidefod">
    <w:name w:val="footer"/>
    <w:basedOn w:val="Normal"/>
    <w:link w:val="SidefodTegn"/>
    <w:uiPriority w:val="99"/>
    <w:unhideWhenUsed/>
    <w:rsid w:val="00D23A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eds60.org/" TargetMode="External"/><Relationship Id="rId4" Type="http://schemas.openxmlformats.org/officeDocument/2006/relationships/settings" Target="settings.xml"/><Relationship Id="rId9" Type="http://schemas.openxmlformats.org/officeDocument/2006/relationships/hyperlink" Target="mailto:060@dlf.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60.DLF\Application%20Data\Microsoft\Skabeloner\kreds60%20skabeloner\Kreds60%20brev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D899-32B3-4726-8BD3-FC4438F3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Kreds60 brevskabelon</Template>
  <TotalTime>13</TotalTime>
  <Pages>1</Pages>
  <Words>297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cp:lastPrinted>2010-10-26T10:46:00Z</cp:lastPrinted>
  <dcterms:created xsi:type="dcterms:W3CDTF">2011-11-24T10:41:00Z</dcterms:created>
  <dcterms:modified xsi:type="dcterms:W3CDTF">2011-11-24T11:07:00Z</dcterms:modified>
</cp:coreProperties>
</file>